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25" w:rsidRDefault="009E5837">
      <w:pPr>
        <w:pStyle w:val="1"/>
        <w:spacing w:before="73"/>
        <w:ind w:left="112"/>
      </w:pPr>
      <w:r>
        <w:t>Договор</w:t>
      </w:r>
    </w:p>
    <w:p w:rsidR="00C32E25" w:rsidRDefault="009E5837">
      <w:pPr>
        <w:spacing w:before="44"/>
        <w:ind w:left="111" w:right="230"/>
        <w:jc w:val="center"/>
        <w:rPr>
          <w:b/>
          <w:sz w:val="26"/>
        </w:rPr>
      </w:pPr>
      <w:r>
        <w:rPr>
          <w:b/>
          <w:sz w:val="26"/>
        </w:rPr>
        <w:t>на предоставление статистической и аналитической информации Эмитенту</w:t>
      </w:r>
    </w:p>
    <w:p w:rsidR="00C32E25" w:rsidRDefault="00C32E25">
      <w:pPr>
        <w:pStyle w:val="a3"/>
        <w:spacing w:before="2"/>
        <w:ind w:left="0"/>
        <w:rPr>
          <w:b/>
          <w:sz w:val="23"/>
        </w:rPr>
      </w:pPr>
    </w:p>
    <w:p w:rsidR="00C32E25" w:rsidRDefault="009E5837">
      <w:pPr>
        <w:tabs>
          <w:tab w:val="left" w:pos="2245"/>
          <w:tab w:val="left" w:pos="7590"/>
          <w:tab w:val="left" w:pos="9270"/>
          <w:tab w:val="left" w:pos="9870"/>
        </w:tabs>
        <w:spacing w:before="90"/>
        <w:ind w:left="112"/>
        <w:rPr>
          <w:sz w:val="24"/>
        </w:rPr>
      </w:pPr>
      <w:r>
        <w:rPr>
          <w:sz w:val="24"/>
        </w:rPr>
        <w:t>г.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CB7007">
        <w:rPr>
          <w:sz w:val="24"/>
        </w:rPr>
        <w:t>__</w:t>
      </w:r>
      <w:r>
        <w:rPr>
          <w:sz w:val="24"/>
        </w:rPr>
        <w:t>г.</w:t>
      </w:r>
    </w:p>
    <w:p w:rsidR="00C32E25" w:rsidRDefault="00C32E25">
      <w:pPr>
        <w:pStyle w:val="a3"/>
        <w:spacing w:before="5"/>
        <w:ind w:left="0"/>
        <w:rPr>
          <w:sz w:val="23"/>
        </w:rPr>
      </w:pPr>
    </w:p>
    <w:p w:rsidR="00C32E25" w:rsidRDefault="00CB7007">
      <w:pPr>
        <w:pStyle w:val="a3"/>
        <w:tabs>
          <w:tab w:val="left" w:pos="2748"/>
          <w:tab w:val="left" w:pos="5665"/>
          <w:tab w:val="left" w:pos="8428"/>
        </w:tabs>
        <w:spacing w:before="88" w:line="276" w:lineRule="auto"/>
        <w:ind w:right="230" w:firstLine="708"/>
      </w:pPr>
      <w:r>
        <w:t>А</w:t>
      </w:r>
      <w:r w:rsidR="009E5837">
        <w:t>кционерное</w:t>
      </w:r>
      <w:r w:rsidR="009E5837">
        <w:rPr>
          <w:spacing w:val="12"/>
        </w:rPr>
        <w:t xml:space="preserve"> </w:t>
      </w:r>
      <w:r w:rsidR="009E5837">
        <w:t>общество</w:t>
      </w:r>
      <w:r w:rsidR="009E5837">
        <w:rPr>
          <w:spacing w:val="10"/>
        </w:rPr>
        <w:t xml:space="preserve"> </w:t>
      </w:r>
      <w:r w:rsidR="009E5837">
        <w:t>«</w:t>
      </w:r>
      <w:r w:rsidR="009E5837">
        <w:rPr>
          <w:u w:val="single"/>
        </w:rPr>
        <w:t xml:space="preserve"> </w:t>
      </w:r>
      <w:r w:rsidR="009E5837">
        <w:rPr>
          <w:u w:val="single"/>
        </w:rPr>
        <w:tab/>
      </w:r>
      <w:r w:rsidR="009E5837">
        <w:t>»,</w:t>
      </w:r>
      <w:r w:rsidR="009E5837">
        <w:rPr>
          <w:spacing w:val="13"/>
        </w:rPr>
        <w:t xml:space="preserve"> </w:t>
      </w:r>
      <w:r w:rsidR="009E5837">
        <w:t>в</w:t>
      </w:r>
      <w:r w:rsidR="009E5837">
        <w:rPr>
          <w:spacing w:val="9"/>
        </w:rPr>
        <w:t xml:space="preserve"> </w:t>
      </w:r>
      <w:r w:rsidR="009E5837">
        <w:t>лице</w:t>
      </w:r>
      <w:r w:rsidR="009E5837">
        <w:rPr>
          <w:u w:val="single"/>
        </w:rPr>
        <w:t xml:space="preserve"> </w:t>
      </w:r>
      <w:r w:rsidR="009E5837">
        <w:rPr>
          <w:u w:val="single"/>
        </w:rPr>
        <w:tab/>
      </w:r>
      <w:r w:rsidR="009E5837">
        <w:t xml:space="preserve">, </w:t>
      </w:r>
      <w:proofErr w:type="spellStart"/>
      <w:r w:rsidR="009E5837">
        <w:t>действующ</w:t>
      </w:r>
      <w:proofErr w:type="spellEnd"/>
      <w:r>
        <w:t>___</w:t>
      </w:r>
      <w:r w:rsidR="009E5837">
        <w:rPr>
          <w:spacing w:val="-2"/>
        </w:rPr>
        <w:t xml:space="preserve"> </w:t>
      </w:r>
      <w:r w:rsidR="009E5837">
        <w:t>на</w:t>
      </w:r>
      <w:r w:rsidR="009E5837">
        <w:rPr>
          <w:spacing w:val="-3"/>
        </w:rPr>
        <w:t xml:space="preserve"> </w:t>
      </w:r>
      <w:r w:rsidR="009E5837">
        <w:t>основании</w:t>
      </w:r>
      <w:r w:rsidR="009E5837">
        <w:rPr>
          <w:u w:val="single"/>
        </w:rPr>
        <w:t xml:space="preserve"> </w:t>
      </w:r>
      <w:r w:rsidR="009E5837">
        <w:rPr>
          <w:u w:val="single"/>
        </w:rPr>
        <w:tab/>
      </w:r>
      <w:r w:rsidR="009E5837">
        <w:t>, именуемое в дальнейшем Эмитент, и</w:t>
      </w:r>
    </w:p>
    <w:p w:rsidR="00C32E25" w:rsidRDefault="009E5837">
      <w:pPr>
        <w:pStyle w:val="a3"/>
        <w:spacing w:line="298" w:lineRule="exact"/>
      </w:pPr>
      <w:r>
        <w:t>акционерное   общество   «</w:t>
      </w:r>
      <w:r w:rsidR="00A052A3" w:rsidRPr="00A052A3">
        <w:t>Специализированный Регистратор «КОМПАС</w:t>
      </w:r>
      <w:r>
        <w:t>»,   в</w:t>
      </w:r>
      <w:r>
        <w:rPr>
          <w:spacing w:val="30"/>
        </w:rPr>
        <w:t xml:space="preserve"> </w:t>
      </w:r>
      <w:r>
        <w:t>лице</w:t>
      </w:r>
    </w:p>
    <w:p w:rsidR="00C32E25" w:rsidRDefault="009E5837">
      <w:pPr>
        <w:pStyle w:val="a3"/>
        <w:tabs>
          <w:tab w:val="left" w:pos="4140"/>
          <w:tab w:val="left" w:pos="8665"/>
        </w:tabs>
        <w:spacing w:before="47" w:line="276" w:lineRule="auto"/>
        <w:ind w:right="23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5005A8">
        <w:rPr>
          <w:u w:val="single"/>
        </w:rPr>
        <w:t xml:space="preserve">, </w:t>
      </w:r>
      <w:proofErr w:type="spellStart"/>
      <w:r>
        <w:t>действующ</w:t>
      </w:r>
      <w:proofErr w:type="spellEnd"/>
      <w:r w:rsidR="00CB7007">
        <w:t>____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>именуемое</w:t>
      </w:r>
      <w:proofErr w:type="gramEnd"/>
      <w:r>
        <w:t xml:space="preserve"> в дальнейшем Регистратор, именуемые совместно Стороны, договорились о</w:t>
      </w:r>
      <w:r>
        <w:rPr>
          <w:spacing w:val="-25"/>
        </w:rPr>
        <w:t xml:space="preserve"> </w:t>
      </w:r>
      <w:r>
        <w:t>следующем:</w:t>
      </w:r>
    </w:p>
    <w:p w:rsidR="00C32E25" w:rsidRDefault="00C32E25">
      <w:pPr>
        <w:pStyle w:val="a3"/>
        <w:ind w:left="0"/>
        <w:rPr>
          <w:sz w:val="28"/>
        </w:rPr>
      </w:pPr>
    </w:p>
    <w:p w:rsidR="00C32E25" w:rsidRDefault="009E5837">
      <w:pPr>
        <w:ind w:left="112" w:right="230"/>
        <w:jc w:val="center"/>
        <w:rPr>
          <w:b/>
          <w:sz w:val="24"/>
        </w:rPr>
      </w:pPr>
      <w:r>
        <w:rPr>
          <w:b/>
          <w:sz w:val="24"/>
        </w:rPr>
        <w:t>1.ПРЕДМЕТ ДОГОВОРА</w:t>
      </w:r>
    </w:p>
    <w:p w:rsidR="00C32E25" w:rsidRDefault="009E5837">
      <w:pPr>
        <w:pStyle w:val="a3"/>
        <w:spacing w:before="37" w:line="276" w:lineRule="auto"/>
        <w:ind w:right="227" w:firstLine="540"/>
        <w:jc w:val="both"/>
      </w:pPr>
      <w:r>
        <w:t xml:space="preserve">В соответствии с последним </w:t>
      </w:r>
      <w:proofErr w:type="spellStart"/>
      <w:r>
        <w:t>абз</w:t>
      </w:r>
      <w:proofErr w:type="spellEnd"/>
      <w:r>
        <w:t>. пункта 3 Письма Банка России от 29 мая 2014 г. N 015-55-4/4158 и настоящим Договором, Регистратор предоставляет Эмитенту аналитические и статистические сведения в отношении реестра владельцев ценных бумаг</w:t>
      </w:r>
      <w:r w:rsidR="00CB7007">
        <w:t xml:space="preserve"> Эмитента</w:t>
      </w:r>
      <w:r>
        <w:t xml:space="preserve">, не относящиеся к информации, указанной в </w:t>
      </w:r>
      <w:hyperlink r:id="rId6">
        <w:r>
          <w:t xml:space="preserve">пункте 5 статьи 8.6 </w:t>
        </w:r>
      </w:hyperlink>
      <w:r>
        <w:t>Закона о рынке ценных бумаг.</w:t>
      </w:r>
    </w:p>
    <w:p w:rsidR="00C32E25" w:rsidRDefault="00C32E25">
      <w:pPr>
        <w:pStyle w:val="a3"/>
        <w:spacing w:before="3"/>
        <w:ind w:left="0"/>
        <w:rPr>
          <w:sz w:val="20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50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ОБЯЗАННОСТИ ЭМИТЕНТА</w:t>
      </w:r>
    </w:p>
    <w:p w:rsidR="00C32E25" w:rsidRDefault="009E5837" w:rsidP="005005A8">
      <w:pPr>
        <w:pStyle w:val="a3"/>
        <w:spacing w:before="34"/>
        <w:jc w:val="both"/>
      </w:pPr>
      <w:r>
        <w:t>Эмитент обязуется:</w:t>
      </w:r>
    </w:p>
    <w:p w:rsidR="00C32E25" w:rsidRDefault="009E5837" w:rsidP="005005A8">
      <w:pPr>
        <w:pStyle w:val="a4"/>
        <w:numPr>
          <w:ilvl w:val="1"/>
          <w:numId w:val="2"/>
        </w:numPr>
        <w:tabs>
          <w:tab w:val="left" w:pos="589"/>
        </w:tabs>
        <w:spacing w:before="47" w:line="276" w:lineRule="auto"/>
        <w:ind w:right="228" w:firstLine="0"/>
        <w:jc w:val="both"/>
        <w:rPr>
          <w:sz w:val="26"/>
        </w:rPr>
      </w:pPr>
      <w:r>
        <w:rPr>
          <w:sz w:val="26"/>
        </w:rPr>
        <w:t>Предоставлять Регистратору распоряжение (требование) на предоставление информации из Реестра (далее – Требование), оформленное в соответствии с требо</w:t>
      </w:r>
      <w:r w:rsidR="00A052A3">
        <w:rPr>
          <w:sz w:val="26"/>
        </w:rPr>
        <w:t xml:space="preserve">ваниями Правил ведения реестра </w:t>
      </w:r>
      <w:r>
        <w:rPr>
          <w:sz w:val="26"/>
        </w:rPr>
        <w:t>АО «</w:t>
      </w:r>
      <w:r w:rsidR="00CB7007">
        <w:rPr>
          <w:sz w:val="26"/>
        </w:rPr>
        <w:t>СРК</w:t>
      </w:r>
      <w:r>
        <w:rPr>
          <w:sz w:val="26"/>
        </w:rPr>
        <w:t>».</w:t>
      </w:r>
    </w:p>
    <w:p w:rsidR="00C32E25" w:rsidRDefault="009E5837" w:rsidP="005005A8">
      <w:pPr>
        <w:pStyle w:val="a4"/>
        <w:numPr>
          <w:ilvl w:val="1"/>
          <w:numId w:val="2"/>
        </w:numPr>
        <w:tabs>
          <w:tab w:val="left" w:pos="620"/>
        </w:tabs>
        <w:spacing w:line="276" w:lineRule="auto"/>
        <w:ind w:right="227" w:firstLine="0"/>
        <w:jc w:val="both"/>
        <w:rPr>
          <w:sz w:val="26"/>
        </w:rPr>
      </w:pPr>
      <w:r>
        <w:rPr>
          <w:sz w:val="26"/>
        </w:rPr>
        <w:t>Оплачивать услуги Регистратора за предоставление аналитических и статистических сведений в отношении реестра владельцев ценных бумаг в соответствии с Прейскурантом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регистратора.</w:t>
      </w:r>
    </w:p>
    <w:p w:rsidR="00C32E25" w:rsidRDefault="00C32E25">
      <w:pPr>
        <w:pStyle w:val="a3"/>
        <w:spacing w:before="3"/>
        <w:ind w:left="0"/>
        <w:rPr>
          <w:sz w:val="20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203"/>
        </w:tabs>
        <w:spacing w:before="90"/>
        <w:ind w:left="3202"/>
        <w:jc w:val="left"/>
        <w:rPr>
          <w:b/>
          <w:sz w:val="24"/>
        </w:rPr>
      </w:pPr>
      <w:r>
        <w:rPr>
          <w:b/>
          <w:sz w:val="24"/>
        </w:rPr>
        <w:t>ОБЯЗАННОСТИ</w:t>
      </w:r>
      <w:r w:rsidR="00CB7007">
        <w:rPr>
          <w:b/>
          <w:sz w:val="24"/>
        </w:rPr>
        <w:t xml:space="preserve"> И ПРАВА</w:t>
      </w:r>
      <w:r>
        <w:rPr>
          <w:b/>
          <w:sz w:val="24"/>
        </w:rPr>
        <w:t xml:space="preserve"> РЕГИСТРАТОРА.</w:t>
      </w:r>
    </w:p>
    <w:p w:rsidR="00C32E25" w:rsidRDefault="009E5837" w:rsidP="00CB7007">
      <w:pPr>
        <w:pStyle w:val="a3"/>
        <w:spacing w:before="36"/>
        <w:jc w:val="both"/>
      </w:pPr>
      <w:r>
        <w:t>Регистратор обязан:</w:t>
      </w:r>
    </w:p>
    <w:p w:rsidR="00C32E25" w:rsidRDefault="009E5837" w:rsidP="00CB7007">
      <w:pPr>
        <w:pStyle w:val="a3"/>
        <w:spacing w:before="44" w:line="276" w:lineRule="auto"/>
        <w:jc w:val="both"/>
      </w:pPr>
      <w:r>
        <w:t>3.1. Предоставить Эмитенту аналитические и статистические сведения в отношении реестра владельцев ценных бумаг в срок, указанный в Требовании.</w:t>
      </w:r>
    </w:p>
    <w:p w:rsidR="00CB7007" w:rsidRDefault="00CB7007" w:rsidP="00CB7007">
      <w:pPr>
        <w:pStyle w:val="a3"/>
        <w:spacing w:before="44" w:line="276" w:lineRule="auto"/>
        <w:jc w:val="both"/>
      </w:pPr>
      <w:r>
        <w:t>Регистратор вправе:</w:t>
      </w:r>
    </w:p>
    <w:p w:rsidR="00CB7007" w:rsidRDefault="00CB7007" w:rsidP="00CB7007">
      <w:pPr>
        <w:pStyle w:val="a3"/>
        <w:spacing w:before="44" w:line="276" w:lineRule="auto"/>
        <w:jc w:val="both"/>
      </w:pPr>
      <w:r>
        <w:rPr>
          <w:szCs w:val="24"/>
        </w:rPr>
        <w:t xml:space="preserve">3.2. </w:t>
      </w:r>
      <w:r w:rsidRPr="00CB7007">
        <w:t>Отказать Эмитенту в предоставлении статистической и аналитической информации из Реестра при наличии задолженности по оплате услуг Регистратора до устранения такой задолженности.</w:t>
      </w:r>
    </w:p>
    <w:p w:rsidR="00C32E25" w:rsidRDefault="00C32E25">
      <w:pPr>
        <w:pStyle w:val="a3"/>
        <w:spacing w:before="3"/>
        <w:ind w:left="0"/>
        <w:rPr>
          <w:sz w:val="28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059"/>
        </w:tabs>
        <w:ind w:left="3058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C32E25" w:rsidRDefault="00C32E25">
      <w:pPr>
        <w:pStyle w:val="a3"/>
        <w:spacing w:before="6"/>
        <w:ind w:left="0"/>
        <w:rPr>
          <w:b/>
          <w:sz w:val="30"/>
        </w:rPr>
      </w:pPr>
    </w:p>
    <w:p w:rsidR="00C32E25" w:rsidRDefault="009E5837" w:rsidP="00CB7007">
      <w:pPr>
        <w:pStyle w:val="a4"/>
        <w:numPr>
          <w:ilvl w:val="1"/>
          <w:numId w:val="1"/>
        </w:numPr>
        <w:tabs>
          <w:tab w:val="left" w:pos="598"/>
        </w:tabs>
        <w:spacing w:line="276" w:lineRule="auto"/>
        <w:ind w:right="225" w:firstLine="0"/>
        <w:jc w:val="both"/>
        <w:rPr>
          <w:sz w:val="26"/>
        </w:rPr>
      </w:pPr>
      <w:r>
        <w:rPr>
          <w:sz w:val="26"/>
        </w:rPr>
        <w:t>Настоящий Договор вступает в силу с момента подписания и действует в течение всего срока действия договора на ведение реестра владельцев ценных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бумаг.</w:t>
      </w:r>
    </w:p>
    <w:p w:rsidR="00C32E25" w:rsidRDefault="009E5837" w:rsidP="00CB7007">
      <w:pPr>
        <w:pStyle w:val="a4"/>
        <w:numPr>
          <w:ilvl w:val="1"/>
          <w:numId w:val="1"/>
        </w:numPr>
        <w:tabs>
          <w:tab w:val="left" w:pos="639"/>
        </w:tabs>
        <w:spacing w:before="2" w:line="276" w:lineRule="auto"/>
        <w:ind w:right="237" w:firstLine="0"/>
        <w:jc w:val="both"/>
        <w:rPr>
          <w:sz w:val="26"/>
        </w:rPr>
      </w:pPr>
      <w:r>
        <w:rPr>
          <w:sz w:val="26"/>
        </w:rPr>
        <w:t>За неисполнение или ненадлежащее исполнение настоящего Договора Стороны несут ответственность в соответствии с законодательством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РФ.</w:t>
      </w:r>
    </w:p>
    <w:p w:rsidR="00C32E25" w:rsidRDefault="009E5837" w:rsidP="00CB7007">
      <w:pPr>
        <w:pStyle w:val="a4"/>
        <w:numPr>
          <w:ilvl w:val="1"/>
          <w:numId w:val="1"/>
        </w:numPr>
        <w:tabs>
          <w:tab w:val="left" w:pos="572"/>
        </w:tabs>
        <w:spacing w:line="276" w:lineRule="auto"/>
        <w:ind w:right="226" w:firstLine="0"/>
        <w:jc w:val="both"/>
        <w:rPr>
          <w:sz w:val="26"/>
        </w:rPr>
      </w:pPr>
      <w:r>
        <w:rPr>
          <w:sz w:val="26"/>
        </w:rPr>
        <w:t>Настоящий Договор составлен и подписан в 2-х экземплярах, по одному экземпляру для каждой из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Сторон.</w:t>
      </w:r>
    </w:p>
    <w:p w:rsidR="00C32E25" w:rsidRDefault="00C32E25">
      <w:pPr>
        <w:pStyle w:val="a3"/>
        <w:spacing w:before="5"/>
        <w:ind w:left="0"/>
        <w:rPr>
          <w:sz w:val="36"/>
        </w:rPr>
      </w:pPr>
    </w:p>
    <w:p w:rsidR="00A052A3" w:rsidRDefault="00A052A3">
      <w:pPr>
        <w:pStyle w:val="a3"/>
        <w:spacing w:before="5"/>
        <w:ind w:left="0"/>
        <w:rPr>
          <w:sz w:val="36"/>
        </w:rPr>
      </w:pPr>
    </w:p>
    <w:p w:rsidR="00C32E25" w:rsidRDefault="009E5837">
      <w:pPr>
        <w:pStyle w:val="a4"/>
        <w:numPr>
          <w:ilvl w:val="0"/>
          <w:numId w:val="3"/>
        </w:numPr>
        <w:tabs>
          <w:tab w:val="left" w:pos="3085"/>
        </w:tabs>
        <w:ind w:left="3085"/>
        <w:jc w:val="left"/>
        <w:rPr>
          <w:b/>
          <w:sz w:val="24"/>
        </w:rPr>
      </w:pPr>
      <w:r>
        <w:rPr>
          <w:b/>
          <w:sz w:val="24"/>
        </w:rPr>
        <w:t>РЕКВИЗИТЫ И ПОДПИСИ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</w:t>
      </w:r>
    </w:p>
    <w:p w:rsidR="00CB7007" w:rsidRPr="00CB7007" w:rsidRDefault="00CB7007" w:rsidP="00CB7007">
      <w:pPr>
        <w:tabs>
          <w:tab w:val="left" w:pos="3085"/>
        </w:tabs>
        <w:rPr>
          <w:b/>
          <w:sz w:val="24"/>
        </w:rPr>
      </w:pPr>
    </w:p>
    <w:p w:rsidR="00C32E25" w:rsidRDefault="00C32E2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C32E25" w:rsidTr="00CB7007">
        <w:trPr>
          <w:trHeight w:val="378"/>
        </w:trPr>
        <w:tc>
          <w:tcPr>
            <w:tcW w:w="4890" w:type="dxa"/>
            <w:tcBorders>
              <w:bottom w:val="single" w:sz="4" w:space="0" w:color="auto"/>
            </w:tcBorders>
          </w:tcPr>
          <w:p w:rsidR="00C32E25" w:rsidRDefault="009E5837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РЕГИСТРАТОР</w:t>
            </w:r>
          </w:p>
        </w:tc>
        <w:tc>
          <w:tcPr>
            <w:tcW w:w="4890" w:type="dxa"/>
          </w:tcPr>
          <w:p w:rsidR="00C32E25" w:rsidRDefault="009E583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ЭМИТЕНТ</w:t>
            </w:r>
          </w:p>
        </w:tc>
      </w:tr>
      <w:tr w:rsidR="001F0E2A" w:rsidTr="00CB7007">
        <w:trPr>
          <w:trHeight w:val="33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1C" w:rsidRDefault="00440D1C" w:rsidP="00440D1C">
            <w:pPr>
              <w:spacing w:before="120"/>
              <w:ind w:left="66" w:right="147"/>
              <w:contextualSpacing/>
              <w:jc w:val="both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акционерное общество «Специализированный Регистратор «КОМПАС»</w:t>
            </w:r>
          </w:p>
          <w:p w:rsidR="00440D1C" w:rsidRDefault="00440D1C" w:rsidP="00440D1C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Место нахождения: Кемеровская область, г. Новокузнецк</w:t>
            </w:r>
          </w:p>
          <w:p w:rsidR="00440D1C" w:rsidRDefault="00440D1C" w:rsidP="00440D1C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Адрес: 654005, Российская Федерация, </w:t>
            </w:r>
            <w:r w:rsidRPr="00CB7007">
              <w:rPr>
                <w:szCs w:val="24"/>
              </w:rPr>
              <w:t>Кемеровская область-Кузбасс</w:t>
            </w:r>
            <w:r>
              <w:rPr>
                <w:szCs w:val="24"/>
              </w:rPr>
              <w:t>, г. Новокузнецк, пр. Строителей, 57</w:t>
            </w:r>
          </w:p>
          <w:p w:rsidR="00440D1C" w:rsidRDefault="00440D1C" w:rsidP="00440D1C">
            <w:pPr>
              <w:spacing w:before="120"/>
              <w:ind w:left="66" w:right="147"/>
              <w:contextualSpacing/>
              <w:jc w:val="both"/>
            </w:pPr>
            <w:r>
              <w:t xml:space="preserve">Почтовый адрес: 654000, </w:t>
            </w:r>
            <w:r>
              <w:rPr>
                <w:szCs w:val="24"/>
              </w:rPr>
              <w:t>Российская Федерация</w:t>
            </w:r>
            <w:r>
              <w:t xml:space="preserve">, Кемеровская область </w:t>
            </w:r>
            <w:proofErr w:type="gramStart"/>
            <w:r>
              <w:t>-К</w:t>
            </w:r>
            <w:proofErr w:type="gramEnd"/>
            <w:r>
              <w:t>узбасс, г. Новокузнецк, а/я 99/212</w:t>
            </w:r>
          </w:p>
          <w:p w:rsidR="00440D1C" w:rsidRDefault="00440D1C" w:rsidP="00440D1C">
            <w:pPr>
              <w:spacing w:before="120"/>
              <w:ind w:left="66" w:right="147"/>
              <w:contextualSpacing/>
              <w:jc w:val="both"/>
            </w:pPr>
            <w:r>
              <w:t>ИНН 4217027573, КПП 421701001</w:t>
            </w:r>
          </w:p>
          <w:p w:rsidR="00440D1C" w:rsidRDefault="00440D1C" w:rsidP="00440D1C">
            <w:pPr>
              <w:spacing w:before="120"/>
              <w:ind w:left="66" w:right="147"/>
              <w:contextualSpacing/>
              <w:jc w:val="both"/>
              <w:rPr>
                <w:b/>
                <w:sz w:val="19"/>
              </w:rPr>
            </w:pPr>
            <w:r>
              <w:t xml:space="preserve">Банковские реквизиты: </w:t>
            </w:r>
            <w:proofErr w:type="gramStart"/>
            <w:r>
              <w:t>р</w:t>
            </w:r>
            <w:proofErr w:type="gramEnd"/>
            <w:r>
              <w:t>/с 40701810713030000005 ФИЛИАЛ "ЦЕНТРАЛЬНЫЙ" БАНКА ВТБ (ПАО) г. Москва к/с 30101810145250000411 БИК 044525411</w:t>
            </w:r>
          </w:p>
          <w:p w:rsidR="00440D1C" w:rsidRDefault="00440D1C" w:rsidP="00440D1C">
            <w:pPr>
              <w:pStyle w:val="TableParagraph"/>
              <w:ind w:left="66" w:right="147"/>
            </w:pPr>
            <w:r w:rsidRPr="00440D1C">
              <w:t>___________________</w:t>
            </w:r>
            <w:r>
              <w:t>/_______________</w:t>
            </w:r>
          </w:p>
          <w:p w:rsidR="001F0E2A" w:rsidRDefault="001F0E2A" w:rsidP="00440D1C">
            <w:pPr>
              <w:pStyle w:val="TableParagraph"/>
              <w:ind w:left="66" w:right="147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4890" w:type="dxa"/>
            <w:tcBorders>
              <w:left w:val="single" w:sz="4" w:space="0" w:color="auto"/>
            </w:tcBorders>
          </w:tcPr>
          <w:p w:rsidR="00CB7007" w:rsidRDefault="001F0E2A" w:rsidP="00CB7007">
            <w:pPr>
              <w:spacing w:before="120"/>
              <w:ind w:left="66" w:right="147"/>
              <w:contextualSpacing/>
              <w:jc w:val="both"/>
              <w:rPr>
                <w:b/>
                <w:bCs/>
                <w:i/>
                <w:szCs w:val="24"/>
              </w:rPr>
            </w:pPr>
            <w:r>
              <w:rPr>
                <w:b/>
                <w:i/>
              </w:rPr>
              <w:t xml:space="preserve"> </w:t>
            </w:r>
            <w:r w:rsidR="00CB7007">
              <w:rPr>
                <w:b/>
                <w:bCs/>
                <w:i/>
                <w:szCs w:val="24"/>
              </w:rPr>
              <w:t>акционерное общество «__________________»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Место нахождения: _________________________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Адрес: ____________________________________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  <w:r>
              <w:t>Почтовый адрес: ___________________________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  <w:r>
              <w:t>ИНН ____________________, КПП ___________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  <w:r>
              <w:t>Банковские реквизиты: ______________________________________________________________________________________________________________________________</w:t>
            </w: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</w:p>
          <w:p w:rsidR="00CB7007" w:rsidRDefault="00CB7007" w:rsidP="00CB7007">
            <w:pPr>
              <w:spacing w:before="120"/>
              <w:ind w:left="66" w:right="147"/>
              <w:contextualSpacing/>
              <w:jc w:val="both"/>
            </w:pPr>
          </w:p>
          <w:p w:rsidR="00CB7007" w:rsidRDefault="00CB7007" w:rsidP="00CB7007">
            <w:pPr>
              <w:spacing w:before="120"/>
              <w:ind w:right="147"/>
              <w:contextualSpacing/>
              <w:jc w:val="both"/>
              <w:rPr>
                <w:b/>
                <w:sz w:val="19"/>
              </w:rPr>
            </w:pPr>
          </w:p>
          <w:p w:rsidR="00CB7007" w:rsidRDefault="00CB7007" w:rsidP="00CB7007">
            <w:pPr>
              <w:pStyle w:val="TableParagraph"/>
              <w:ind w:left="66" w:right="147"/>
            </w:pPr>
            <w:r w:rsidRPr="00440D1C">
              <w:t>___________________</w:t>
            </w:r>
            <w:r>
              <w:t>/____________________</w:t>
            </w:r>
          </w:p>
          <w:p w:rsidR="001F0E2A" w:rsidRDefault="001F0E2A" w:rsidP="004A5A6F">
            <w:pPr>
              <w:pStyle w:val="TableParagraph"/>
              <w:tabs>
                <w:tab w:val="left" w:pos="2797"/>
                <w:tab w:val="left" w:pos="4235"/>
              </w:tabs>
              <w:spacing w:before="208"/>
              <w:rPr>
                <w:b/>
                <w:i/>
              </w:rPr>
            </w:pPr>
          </w:p>
        </w:tc>
      </w:tr>
    </w:tbl>
    <w:p w:rsidR="00C32E25" w:rsidRDefault="00440D1C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74.65pt,181.7pt" to="184.8pt,181.7pt" strokeweight=".15578mm">
            <w10:wrap anchorx="page" anchory="page"/>
          </v:line>
        </w:pict>
      </w:r>
    </w:p>
    <w:sectPr w:rsidR="00C32E25">
      <w:pgSz w:w="11910" w:h="16840"/>
      <w:pgMar w:top="8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3F1"/>
    <w:multiLevelType w:val="multilevel"/>
    <w:tmpl w:val="5E52D3AC"/>
    <w:lvl w:ilvl="0">
      <w:start w:val="4"/>
      <w:numFmt w:val="decimal"/>
      <w:lvlText w:val="%1"/>
      <w:lvlJc w:val="left"/>
      <w:pPr>
        <w:ind w:left="112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9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7" w:hanging="485"/>
      </w:pPr>
      <w:rPr>
        <w:rFonts w:hint="default"/>
        <w:lang w:val="ru-RU" w:eastAsia="ru-RU" w:bidi="ru-RU"/>
      </w:rPr>
    </w:lvl>
  </w:abstractNum>
  <w:abstractNum w:abstractNumId="1">
    <w:nsid w:val="10B77B36"/>
    <w:multiLevelType w:val="hybridMultilevel"/>
    <w:tmpl w:val="540CAC24"/>
    <w:lvl w:ilvl="0" w:tplc="961415C6">
      <w:start w:val="2"/>
      <w:numFmt w:val="decimal"/>
      <w:lvlText w:val="%1."/>
      <w:lvlJc w:val="left"/>
      <w:pPr>
        <w:ind w:left="35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B75CF152">
      <w:numFmt w:val="bullet"/>
      <w:lvlText w:val="•"/>
      <w:lvlJc w:val="left"/>
      <w:pPr>
        <w:ind w:left="4176" w:hanging="240"/>
      </w:pPr>
      <w:rPr>
        <w:rFonts w:hint="default"/>
        <w:lang w:val="ru-RU" w:eastAsia="ru-RU" w:bidi="ru-RU"/>
      </w:rPr>
    </w:lvl>
    <w:lvl w:ilvl="2" w:tplc="878A31E6">
      <w:numFmt w:val="bullet"/>
      <w:lvlText w:val="•"/>
      <w:lvlJc w:val="left"/>
      <w:pPr>
        <w:ind w:left="4853" w:hanging="240"/>
      </w:pPr>
      <w:rPr>
        <w:rFonts w:hint="default"/>
        <w:lang w:val="ru-RU" w:eastAsia="ru-RU" w:bidi="ru-RU"/>
      </w:rPr>
    </w:lvl>
    <w:lvl w:ilvl="3" w:tplc="BAF6053A">
      <w:numFmt w:val="bullet"/>
      <w:lvlText w:val="•"/>
      <w:lvlJc w:val="left"/>
      <w:pPr>
        <w:ind w:left="5529" w:hanging="240"/>
      </w:pPr>
      <w:rPr>
        <w:rFonts w:hint="default"/>
        <w:lang w:val="ru-RU" w:eastAsia="ru-RU" w:bidi="ru-RU"/>
      </w:rPr>
    </w:lvl>
    <w:lvl w:ilvl="4" w:tplc="D81AE976">
      <w:numFmt w:val="bullet"/>
      <w:lvlText w:val="•"/>
      <w:lvlJc w:val="left"/>
      <w:pPr>
        <w:ind w:left="6206" w:hanging="240"/>
      </w:pPr>
      <w:rPr>
        <w:rFonts w:hint="default"/>
        <w:lang w:val="ru-RU" w:eastAsia="ru-RU" w:bidi="ru-RU"/>
      </w:rPr>
    </w:lvl>
    <w:lvl w:ilvl="5" w:tplc="CFF43B8E">
      <w:numFmt w:val="bullet"/>
      <w:lvlText w:val="•"/>
      <w:lvlJc w:val="left"/>
      <w:pPr>
        <w:ind w:left="6883" w:hanging="240"/>
      </w:pPr>
      <w:rPr>
        <w:rFonts w:hint="default"/>
        <w:lang w:val="ru-RU" w:eastAsia="ru-RU" w:bidi="ru-RU"/>
      </w:rPr>
    </w:lvl>
    <w:lvl w:ilvl="6" w:tplc="0CA68DF8">
      <w:numFmt w:val="bullet"/>
      <w:lvlText w:val="•"/>
      <w:lvlJc w:val="left"/>
      <w:pPr>
        <w:ind w:left="7559" w:hanging="240"/>
      </w:pPr>
      <w:rPr>
        <w:rFonts w:hint="default"/>
        <w:lang w:val="ru-RU" w:eastAsia="ru-RU" w:bidi="ru-RU"/>
      </w:rPr>
    </w:lvl>
    <w:lvl w:ilvl="7" w:tplc="D82C89F2">
      <w:numFmt w:val="bullet"/>
      <w:lvlText w:val="•"/>
      <w:lvlJc w:val="left"/>
      <w:pPr>
        <w:ind w:left="8236" w:hanging="240"/>
      </w:pPr>
      <w:rPr>
        <w:rFonts w:hint="default"/>
        <w:lang w:val="ru-RU" w:eastAsia="ru-RU" w:bidi="ru-RU"/>
      </w:rPr>
    </w:lvl>
    <w:lvl w:ilvl="8" w:tplc="AF40A106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2">
    <w:nsid w:val="24C54F64"/>
    <w:multiLevelType w:val="multilevel"/>
    <w:tmpl w:val="E6DE9048"/>
    <w:lvl w:ilvl="0">
      <w:start w:val="2"/>
      <w:numFmt w:val="decimal"/>
      <w:lvlText w:val="%1"/>
      <w:lvlJc w:val="left"/>
      <w:pPr>
        <w:ind w:left="112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49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3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78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7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2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7" w:hanging="47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2E25"/>
    <w:rsid w:val="001F0E2A"/>
    <w:rsid w:val="00440D1C"/>
    <w:rsid w:val="005005A8"/>
    <w:rsid w:val="009E5837"/>
    <w:rsid w:val="00A052A3"/>
    <w:rsid w:val="00C32E25"/>
    <w:rsid w:val="00C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4"/>
      <w:ind w:left="111" w:right="22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1B2CDEE5969B0F4346C16AA0BCDA5B812B8BA77CCC38F159B70A198E16DF1AAD9BFA5AE3Fv5W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</dc:title>
  <dc:creator>Маша</dc:creator>
  <cp:lastModifiedBy>Наталья Мурлина</cp:lastModifiedBy>
  <cp:revision>9</cp:revision>
  <dcterms:created xsi:type="dcterms:W3CDTF">2018-09-04T04:06:00Z</dcterms:created>
  <dcterms:modified xsi:type="dcterms:W3CDTF">2021-03-12T03:13:00Z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